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90" w:right="0" w:hanging="63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13"/>
        <w:gridCol w:w="4513"/>
        <w:tblGridChange w:id="0">
          <w:tblGrid>
            <w:gridCol w:w="4513"/>
            <w:gridCol w:w="4513"/>
          </w:tblGrid>
        </w:tblGridChange>
      </w:tblGrid>
      <w:tr>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Scheme"</w:t>
            </w:r>
          </w:p>
        </w:tc>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https://www.cyberessentials.ncsc.gov.uk/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tc>
      </w:tr>
      <w:t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Basic Certificate"</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Certificate"</w:t>
            </w:r>
          </w:p>
        </w:tc>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Cyber Essentials Basic Certificate or the Cyber Essentials Plus Certificate to be provided by the Supplier as set out in the Framework Award Form</w:t>
            </w:r>
          </w:p>
        </w:tc>
      </w:tr>
      <w:t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 Scheme Data"</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sensitive and personal information and other relevant information as referred to in the Cyber Essentials Scheme; and</w:t>
            </w:r>
            <w:r w:rsidDel="00000000" w:rsidR="00000000" w:rsidRPr="00000000">
              <w:rPr>
                <w:rtl w:val="0"/>
              </w:rPr>
            </w:r>
          </w:p>
        </w:tc>
      </w:tr>
    </w:tbl>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Certification do you need</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Where the Framework Award Form requires that the Supplier provide a Cyber Essentials Certificate prior to the Commencement Date the Supplier shall provide a valid Cyber Essentials Certificate to CCS.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1"/>
          <w:i w:val="0"/>
          <w:smallCaps w:val="0"/>
          <w:strike w:val="0"/>
          <w:color w:val="000000"/>
          <w:sz w:val="24"/>
          <w:szCs w:val="24"/>
          <w:highlight w:val="yellow"/>
          <w:u w:val="none"/>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 Where the Supplier continues to process data during the Contract Period of any Call-Off Contract the Supplier shall deliver to CCS evidence of renewal of the Cyber Essentials Certificate or Cyber Essentials Plus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 Where the Supplier is due to process data after the Start Date of the first Call-Off Contract but before the end of the Framework Contract Period or Contact Period of the last Call-Off Contract, the Supplier shall deliver to CCS evidence of:</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2.3.1 a valid and current Cyber Essentials Certificate before the Supplier    processes any such Cyber Essentials Scheme Data; and</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2.3.2 renewal of the valid Cyber Essentials Certificate on each  anniversary of the first Cyber Essentials Scheme certificate obtained by the Supplier under Paragraph 2.1</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2.4 In the event that the Supplier fails to comply with Paragraphs 2.2 or 2.3 (as applicable), CCS reserves the right to terminate this Contract for material Default.</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2.5 The Supplier shall ensure that all Sub-Contracts with Subcontractors who </w:t>
      </w:r>
      <w:bookmarkStart w:colFirst="0" w:colLast="0" w:name="bookmark=id.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Process Cyber Essentials Data contain provisions no less onerous on the Subcontractors than those imposed on the Supplier under this Contract in respect of the Cyber Essentials Scheme under Paragraph 2.1 of this Schedule. </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2.6 This Schedule shall survive termination or expiry of this Contract and each and any Call-Off Contract.</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sectPr>
          <w:headerReference r:id="rId8" w:type="default"/>
          <w:headerReference r:id="rId9" w:type="first"/>
          <w:footerReference r:id="rId10" w:type="default"/>
          <w:footerReference r:id="rId11" w:type="first"/>
          <w:pgSz w:h="16838" w:w="11906"/>
          <w:pgMar w:bottom="1440" w:top="1440" w:left="1440" w:right="1440" w:header="709" w:footer="709"/>
          <w:pgNumType w:start="1"/>
          <w:cols w:equalWidth="0"/>
        </w:sectPr>
      </w:pPr>
      <w:r w:rsidDel="00000000" w:rsidR="00000000" w:rsidRPr="00000000">
        <w:rPr>
          <w:rtl w:val="0"/>
        </w:rPr>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sectPr>
      <w:type w:val="nextPage"/>
      <w:pgSz w:h="16838" w:w="11906"/>
      <w:pgMar w:bottom="1440" w:top="1440" w:left="1440" w:right="1440" w:header="709" w:footer="709"/>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RM6187</w:t>
      <w:tab/>
      <w:t xml:space="preserve">                                           </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2">
    <w:pP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v3.2</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DefinitionL2" w:customStyle="1">
    <w:name w:val="GPS Definition L2"/>
    <w:basedOn w:val="Normal"/>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L2Numbered" w:customStyle="1">
    <w:name w:val="GPS L2 Numbered"/>
    <w:basedOn w:val="GPSL2NumberedBoldHeading"/>
    <w:pPr>
      <w:numPr>
        <w:ilvl w:val="0"/>
        <w:numId w:val="0"/>
      </w:numPr>
      <w:tabs>
        <w:tab w:val="left" w:pos="709"/>
      </w:tabs>
      <w:autoSpaceDN w:val="0"/>
      <w:adjustRightInd w:val="1"/>
      <w:ind w:left="1494" w:hanging="360"/>
    </w:pPr>
    <w:rPr>
      <w:b w:val="0"/>
    </w:rPr>
  </w:style>
  <w:style w:type="paragraph" w:styleId="GPSDefinitionL4" w:customStyle="1">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cs="Arial" w:eastAsia="Times New Roman" w:hAnsi="Arial"/>
    </w:rPr>
  </w:style>
  <w:style w:type="numbering" w:styleId="LFO12" w:customStyle="1">
    <w:name w:val="LFO12"/>
    <w:basedOn w:val="NoList"/>
    <w:pPr>
      <w:numPr>
        <w:numId w:val="2"/>
      </w:numPr>
    </w:p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B75555"/>
    <w:rPr>
      <w:color w:val="0000ff" w:themeColor="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yberessentials.ncsc.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CLeppahdOpdYGZEBIWWIffZb/jw==">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2019-02-07T14:25:00Z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